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Verdana" w:cs="Verdana" w:eastAsia="Verdana" w:hAnsi="Verdana"/>
          <w:b w:val="1"/>
          <w:rtl w:val="0"/>
        </w:rPr>
        <w:t xml:space="preserve">REGOLAMENTO PROMOZIONE “CASHBACK”</w:t>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D-Link Mediterraneo Srl, con sede in Via Negroli 35 - 20133 Milano, intende promuovere la commercializzazione di una serie di prodotti attraverso un’operazione con finalità meramente promozionali denominata “CASHBACK”, in virtù della quale si riconosce al Cliente un importo attraverso un accredito su c/c in seguito all’acquisto di uno dei prodotti in promozione.</w:t>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D-Link Mediterraneo Srl si avvale del supporto di SMPI Group SrL – Piazza Francesco Buffoni 5 – 21013 Gallarate (VA), Società specializzata nell’offerta di servizi di vendita e marketing. SMPI Group Srl, nella persona del General Manager, Sig. Fabio Marchino, è altresì incaricata da D-Link Mediterraneo Srl al trattamento dei dati dei suoi Clienti, limitatamente allo svolgimento delle attività connesse all’operazione di “CASHBACK”.</w:t>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Il rimborso non è collegato in alcun modo all’acquisto di altri prodotti o servizi prestati da D-Link Mediterraneo Srl. Il cliente potrà utilizzare la somma che gli è stata rimborsata nella modalità e con le tempistiche che preferisce dato che, una volta completata la procedura di accredito, ne avrà immediata disponibilità sul conto corrente bancario.</w:t>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I Clienti che nel periodo tra il 01/06/2016 e il 15/07/2016 acquisteranno i prodotti in promozione in un qualunque negozio fisico sul territorio italiano che venda al dettaglio potranno usufruire di un rimborso calcolato nel modo seguente:</w:t>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 </w:t>
      </w:r>
    </w:p>
    <w:p w:rsidR="00000000" w:rsidDel="00000000" w:rsidP="00000000" w:rsidRDefault="00000000" w:rsidRPr="00000000">
      <w:pPr>
        <w:ind w:left="1420" w:hanging="360"/>
        <w:contextualSpacing w:val="0"/>
      </w:pPr>
      <w:r w:rsidDel="00000000" w:rsidR="00000000" w:rsidRPr="00000000">
        <w:rPr>
          <w:rFonts w:ascii="Verdana" w:cs="Verdana" w:eastAsia="Verdana" w:hAnsi="Verdana"/>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rFonts w:ascii="Verdana" w:cs="Verdana" w:eastAsia="Verdana" w:hAnsi="Verdana"/>
          <w:rtl w:val="0"/>
        </w:rPr>
        <w:t xml:space="preserve">Il prodotto acquistato dovrà essere compreso tra i seguenti codici: DCS-5020L, DCS-2330L. </w:t>
      </w:r>
    </w:p>
    <w:p w:rsidR="00000000" w:rsidDel="00000000" w:rsidP="00000000" w:rsidRDefault="00000000" w:rsidRPr="00000000">
      <w:pPr>
        <w:ind w:left="1420" w:hanging="360"/>
        <w:contextualSpacing w:val="0"/>
      </w:pPr>
      <w:r w:rsidDel="00000000" w:rsidR="00000000" w:rsidRPr="00000000">
        <w:rPr>
          <w:rFonts w:ascii="Verdana" w:cs="Verdana" w:eastAsia="Verdana" w:hAnsi="Verdana"/>
          <w:rtl w:val="0"/>
        </w:rPr>
        <w:t xml:space="preserve">b.  Il rimborso sarà pari all’importo dell’IVA se evidenziata in fattura/ricevuta fiscale, oppure secondo la formula (prezzo prodotto / 1,22) in caso l’imposta non sia evidenziata.</w:t>
      </w:r>
    </w:p>
    <w:p w:rsidR="00000000" w:rsidDel="00000000" w:rsidP="00000000" w:rsidRDefault="00000000" w:rsidRPr="00000000">
      <w:pPr>
        <w:ind w:left="1420" w:hanging="360"/>
        <w:contextualSpacing w:val="0"/>
      </w:pPr>
      <w:r w:rsidDel="00000000" w:rsidR="00000000" w:rsidRPr="00000000">
        <w:rPr>
          <w:rFonts w:ascii="Verdana" w:cs="Verdana" w:eastAsia="Verdana" w:hAnsi="Verdana"/>
          <w:rtl w:val="0"/>
        </w:rPr>
        <w:t xml:space="preserve">c.  </w:t>
      </w:r>
      <w:r w:rsidDel="00000000" w:rsidR="00000000" w:rsidRPr="00000000">
        <w:rPr>
          <w:rFonts w:ascii="Verdana" w:cs="Verdana" w:eastAsia="Verdana" w:hAnsi="Verdana"/>
          <w:rtl w:val="0"/>
        </w:rPr>
        <w:t xml:space="preserve">La quantità massima di prodotti per la quale è possibile ottenere il rimborso è fissata in 4 (quattro) pezzi complessivi per persona fisica/partita IVA. </w:t>
      </w:r>
    </w:p>
    <w:p w:rsidR="00000000" w:rsidDel="00000000" w:rsidP="00000000" w:rsidRDefault="00000000" w:rsidRPr="00000000">
      <w:pPr>
        <w:ind w:left="1420" w:hanging="360"/>
        <w:contextualSpacing w:val="0"/>
      </w:pPr>
      <w:r w:rsidDel="00000000" w:rsidR="00000000" w:rsidRPr="00000000">
        <w:rPr>
          <w:rFonts w:ascii="Verdana" w:cs="Verdana" w:eastAsia="Verdana" w:hAnsi="Verdana"/>
          <w:rtl w:val="0"/>
        </w:rPr>
        <w:t xml:space="preserve">d</w:t>
      </w:r>
      <w:r w:rsidDel="00000000" w:rsidR="00000000" w:rsidRPr="00000000">
        <w:rPr>
          <w:rFonts w:ascii="Verdana" w:cs="Verdana" w:eastAsia="Verdana" w:hAnsi="Verdana"/>
          <w:rtl w:val="0"/>
        </w:rPr>
        <w:t xml:space="preserve">.</w:t>
      </w:r>
      <w:r w:rsidDel="00000000" w:rsidR="00000000" w:rsidRPr="00000000">
        <w:rPr>
          <w:rFonts w:ascii="Times New Roman" w:cs="Times New Roman" w:eastAsia="Times New Roman" w:hAnsi="Times New Roman"/>
          <w:sz w:val="14"/>
          <w:szCs w:val="14"/>
          <w:rtl w:val="0"/>
        </w:rPr>
        <w:tab/>
        <w:t xml:space="preserve"> </w:t>
      </w:r>
      <w:r w:rsidDel="00000000" w:rsidR="00000000" w:rsidRPr="00000000">
        <w:rPr>
          <w:rFonts w:ascii="Verdana" w:cs="Verdana" w:eastAsia="Verdana" w:hAnsi="Verdana"/>
          <w:rtl w:val="0"/>
        </w:rPr>
        <w:t xml:space="preserve">Il Cliente dovrà provvedere alla registrazione dei prodotti</w:t>
      </w:r>
    </w:p>
    <w:p w:rsidR="00000000" w:rsidDel="00000000" w:rsidP="00000000" w:rsidRDefault="00000000" w:rsidRPr="00000000">
      <w:pPr>
        <w:ind w:left="1420" w:hanging="360"/>
        <w:contextualSpacing w:val="0"/>
      </w:pPr>
      <w:r w:rsidDel="00000000" w:rsidR="00000000" w:rsidRPr="00000000">
        <w:rPr>
          <w:rFonts w:ascii="Verdana" w:cs="Verdana" w:eastAsia="Verdana" w:hAnsi="Verdana"/>
          <w:rtl w:val="0"/>
        </w:rPr>
        <w:t xml:space="preserve">e.</w:t>
      </w:r>
      <w:r w:rsidDel="00000000" w:rsidR="00000000" w:rsidRPr="00000000">
        <w:rPr>
          <w:rFonts w:ascii="Times New Roman" w:cs="Times New Roman" w:eastAsia="Times New Roman" w:hAnsi="Times New Roman"/>
          <w:sz w:val="14"/>
          <w:szCs w:val="14"/>
          <w:rtl w:val="0"/>
        </w:rPr>
        <w:tab/>
      </w:r>
      <w:r w:rsidDel="00000000" w:rsidR="00000000" w:rsidRPr="00000000">
        <w:rPr>
          <w:rFonts w:ascii="Verdana" w:cs="Verdana" w:eastAsia="Verdana" w:hAnsi="Verdana"/>
          <w:rtl w:val="0"/>
        </w:rPr>
        <w:t xml:space="preserve">Eventuali acquisti effettuati presso negozi on line o distributori all’ingrosso di prodotti di elettronica di consumo non saranno considerati validi nell’ambito delle presente promozione.</w:t>
      </w:r>
    </w:p>
    <w:p w:rsidR="00000000" w:rsidDel="00000000" w:rsidP="00000000" w:rsidRDefault="00000000" w:rsidRPr="00000000">
      <w:pPr>
        <w:ind w:left="1440" w:firstLine="0"/>
        <w:contextualSpacing w:val="0"/>
      </w:pPr>
      <w:r w:rsidDel="00000000" w:rsidR="00000000" w:rsidRPr="00000000">
        <w:rPr>
          <w:rFonts w:ascii="Verdana" w:cs="Verdana" w:eastAsia="Verdana" w:hAnsi="Verdana"/>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I Clienti in regola con le condizioni sopra indicate dovranno collegarsi al sito www.dlink.com/cashback, compilare i campi obbligatori ad allegare la scansione dello scontrino e/o fattura di acquisto del prodotto. L’importo verrà accreditato entro 30 giorni lavorativi dall’inoltro del modulo stesso debitamente compilato; nel caso in cui non siano rispettate tutte le condizioni elencate non sarà possibile provvedere al rimborso della somma prevista.</w:t>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La data di acquisto del prodotto deve essere compresa tra il 01/06/2016 ed il 15/07/2016; i rimborsi potranno essere richiesti entro e non oltre 31/07/2016.</w:t>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Il modulo di registrazione dovrà essere completato con l’accettazione del trattamento della privacy e del presente regolamento.</w:t>
      </w:r>
    </w:p>
    <w:p w:rsidR="00000000" w:rsidDel="00000000" w:rsidP="00000000" w:rsidRDefault="00000000" w:rsidRPr="00000000">
      <w:pPr>
        <w:contextualSpacing w:val="0"/>
      </w:pPr>
      <w:r w:rsidDel="00000000" w:rsidR="00000000" w:rsidRPr="00000000">
        <w:rPr>
          <w:rFonts w:ascii="Verdana" w:cs="Verdana" w:eastAsia="Verdana" w:hAnsi="Verdana"/>
          <w:rtl w:val="0"/>
        </w:rPr>
        <w:t xml:space="preserve">I presenti termini e condizioni di adesione sono regolamentati dalle leggi vigenti; per qualsiasi controversia derivante dagli stessi o comunque ad esso connessi, compresa quella relativa alla sua interpretazione, validità, esecuzione e risoluzione sarà esclusivamente competente il Foro di Milano.</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